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52" w:lineRule="auto"/>
        <w:ind w:hanging="0" w:left="-510" w:right="-227"/>
        <w:contextualSpacing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НИКИФОРОВСКОГО МУНИЦИПАЛЬНОГО ОКРУГА</w:t>
      </w:r>
    </w:p>
    <w:p>
      <w:pPr>
        <w:pStyle w:val="style0"/>
        <w:spacing w:after="0" w:before="0" w:line="252" w:lineRule="auto"/>
        <w:contextualSpacing w:val="fals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ТАМБОВСКОЙ ОБЛАСТИ</w:t>
      </w:r>
    </w:p>
    <w:p>
      <w:pPr>
        <w:pStyle w:val="style0"/>
        <w:spacing w:after="0" w:before="0" w:line="252" w:lineRule="auto"/>
        <w:contextualSpacing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"/>
        <w:spacing w:after="0" w:before="28" w:line="100" w:lineRule="atLeast"/>
        <w:ind w:hanging="576" w:left="0" w:right="0"/>
        <w:contextualSpacing w:val="false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8"/>
        <w:gridCol w:w="3165"/>
        <w:gridCol w:w="3071"/>
      </w:tblGrid>
      <w:tr>
        <w:trPr>
          <w:cantSplit w:val="false"/>
        </w:trPr>
        <w:tc>
          <w:tcPr>
            <w:tcW w:type="dxa" w:w="311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15.03.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type="dxa" w:w="31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р.п. Дмитриевка</w:t>
            </w:r>
          </w:p>
        </w:tc>
        <w:tc>
          <w:tcPr>
            <w:tcW w:type="dxa" w:w="307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№ </w:t>
            </w:r>
            <w:r>
              <w:rPr>
                <w:rFonts w:ascii="Times New Roman" w:hAnsi="Times New Roman"/>
                <w:sz w:val="26"/>
                <w:szCs w:val="26"/>
              </w:rPr>
              <w:t>330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>
      <w:pPr>
        <w:pStyle w:val="style69"/>
        <w:spacing w:after="0" w:before="0" w:line="100" w:lineRule="atLeast"/>
        <w:ind w:hanging="0" w:left="-270" w:right="0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"/>
        <w:keepNext/>
        <w:tabs>
          <w:tab w:leader="none" w:pos="0" w:val="left"/>
        </w:tabs>
        <w:spacing w:after="0" w:before="0" w:line="100" w:lineRule="atLeast"/>
        <w:ind w:hanging="0" w:left="45" w:right="0"/>
        <w:contextualSpacing w:val="false"/>
        <w:jc w:val="both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 xml:space="preserve">   </w:t>
      </w:r>
      <w:r>
        <w:rPr>
          <w:rFonts w:ascii="Times New Roman" w:cs="Times New Roman" w:hAnsi="Times New Roman"/>
          <w:b w:val="false"/>
          <w:color w:val="00000A"/>
          <w:sz w:val="28"/>
          <w:szCs w:val="28"/>
        </w:rPr>
        <w:t xml:space="preserve">О </w:t>
      </w:r>
      <w:r>
        <w:rPr>
          <w:rFonts w:ascii="Times New Roman" w:cs="Times New Roman" w:hAnsi="Times New Roman"/>
          <w:b w:val="false"/>
          <w:sz w:val="28"/>
          <w:szCs w:val="28"/>
        </w:rPr>
        <w:t>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организациях Никифоровского  муниципального округа</w:t>
      </w:r>
    </w:p>
    <w:p>
      <w:pPr>
        <w:pStyle w:val="style1"/>
        <w:spacing w:after="0" w:before="0"/>
        <w:ind w:hanging="0" w:left="-255" w:right="0"/>
        <w:contextualSpacing w:val="false"/>
        <w:jc w:val="both"/>
        <w:rPr/>
      </w:pPr>
      <w:r>
        <w:rPr/>
      </w:r>
    </w:p>
    <w:p>
      <w:pPr>
        <w:pStyle w:val="style1"/>
        <w:spacing w:after="0" w:before="0" w:line="100" w:lineRule="atLeast"/>
        <w:ind w:hanging="0" w:left="-255" w:right="0"/>
        <w:contextualSpacing w:val="false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ab/>
        <w:tab/>
        <w:t xml:space="preserve">В соответствии с постановлениями Правительства Тамбовской области </w:t>
      </w:r>
      <w:r>
        <w:rPr>
          <w:rFonts w:ascii="Times New Roman" w:cs="Times New Roman" w:hAnsi="Times New Roman"/>
          <w:b w:val="false"/>
          <w:color w:val="00000A"/>
        </w:rPr>
        <w:t xml:space="preserve">от 13.04.2023 № 286 «О 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областных государственных образовательных организациях Тамбовской области», </w:t>
      </w:r>
      <w:r>
        <w:rPr>
          <w:rFonts w:ascii="Times New Roman" w:hAnsi="Times New Roman"/>
          <w:color w:val="00000A"/>
        </w:rPr>
        <w:t>от  01.12.2023 № 922 « О внесении изменений в постановление Правительства  Тамбовской области  от 13.04.2023 №286 « О 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областных государственных образовательных организациях Тамбовской области», администрация Никифоровского муниципального округа  ПОСТАНОВЛЯЕТ:</w:t>
      </w:r>
    </w:p>
    <w:p>
      <w:pPr>
        <w:pStyle w:val="style0"/>
        <w:spacing w:after="0" w:before="0" w:line="200" w:lineRule="atLeast"/>
        <w:ind w:hanging="0" w:left="-27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1. Установить предоставление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организациях Никифоровского   муниципального округа, в виде:</w:t>
      </w:r>
    </w:p>
    <w:p>
      <w:pPr>
        <w:pStyle w:val="style0"/>
        <w:widowControl w:val="false"/>
        <w:tabs>
          <w:tab w:leader="none" w:pos="708" w:val="left"/>
        </w:tabs>
        <w:suppressAutoHyphens w:val="true"/>
        <w:spacing w:after="0" w:before="0" w:line="200" w:lineRule="atLeast"/>
        <w:ind w:hanging="15" w:left="-255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освобождения от взимания стоимости обучения за платные образовательные услуги детям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обучающимся в муниципальных образовательных организациях Никифоровского  муниципального округа, реализующих программы начального общего, основного общего, среднего общего образования, дополнительного образования;</w:t>
      </w:r>
    </w:p>
    <w:p>
      <w:pPr>
        <w:pStyle w:val="style82"/>
        <w:widowControl w:val="false"/>
        <w:suppressAutoHyphens w:val="true"/>
        <w:spacing w:after="0" w:before="0" w:line="200" w:lineRule="atLeast"/>
        <w:ind w:firstLine="10" w:left="-21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предоставления бесплатного горячего питания детям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обучающимся в муниципальных образовательных организациях Никифоровского муниципального округа, реализующих программы начального общего, основного общего, среднего общего образования;</w:t>
      </w:r>
    </w:p>
    <w:p>
      <w:pPr>
        <w:pStyle w:val="style82"/>
        <w:widowControl w:val="false"/>
        <w:suppressAutoHyphens w:val="true"/>
        <w:spacing w:after="0" w:before="0" w:line="200" w:lineRule="atLeast"/>
        <w:ind w:hanging="0" w:left="-225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освобождения от родительской платы, взимаемой с родителей (законных представителей) за присмотр и уход за детьми в муниципальных образовательных организациях, реализующих программы дошкольного, начального, основного, среднего общего образования (далее родительская плата, взимаемая с родителей (законных представителей) за  присмотр и уход за детьми;</w:t>
      </w:r>
    </w:p>
    <w:p>
      <w:pPr>
        <w:pStyle w:val="style82"/>
        <w:widowControl w:val="false"/>
        <w:suppressAutoHyphens w:val="true"/>
        <w:spacing w:after="0" w:before="0" w:line="200" w:lineRule="atLeast"/>
        <w:ind w:hanging="15" w:left="-12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освобождения от платы, взимаемой с родителей (законных представителей) за присмотр и уход в группах продлённого дня за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 муниципальных образовательных организациях, реализующих программы  начального общего, основного общего  образования»;</w:t>
      </w:r>
    </w:p>
    <w:p>
      <w:pPr>
        <w:pStyle w:val="style82"/>
        <w:widowControl w:val="false"/>
        <w:suppressAutoHyphens w:val="true"/>
        <w:spacing w:after="0" w:before="0" w:line="200" w:lineRule="atLeast"/>
        <w:ind w:hanging="0" w:left="-284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зачисления в первоочередном порядке в группы продленного дня для детей участников военной операции на территориях Украины, Донецкой Народной Республики, Луганской Народной Республики, Херсонской и Запорожской областей, в муниципальных образовательных организациях, реализующих программы    начального общего, основного общего  образования;</w:t>
      </w:r>
    </w:p>
    <w:p>
      <w:pPr>
        <w:pStyle w:val="style82"/>
        <w:widowControl w:val="false"/>
        <w:suppressAutoHyphens w:val="true"/>
        <w:spacing w:after="0" w:before="0" w:line="200" w:lineRule="atLeast"/>
        <w:ind w:hanging="15" w:left="-12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преимущественного права на перевод ребенка в другую наиболее приближенную к месту жительства семьи муниципальную образовательную организацию, реализующую  программу  начального общего, основного общего  образования, среднего общего образования».</w:t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0" w:before="0" w:line="200" w:lineRule="atLeast"/>
        <w:ind w:firstLine="15" w:left="-27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 Утвердить Порядок предоставления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организациях Никифоровского  муниципального округа,согласно приложению к настоящему постановлению.  </w:t>
      </w:r>
    </w:p>
    <w:p>
      <w:pPr>
        <w:pStyle w:val="style82"/>
        <w:spacing w:after="0" w:before="0" w:line="200" w:lineRule="atLeast"/>
        <w:ind w:hanging="0" w:left="-284" w:right="0"/>
        <w:contextualSpacing w:val="false"/>
        <w:jc w:val="both"/>
        <w:rPr>
          <w:rFonts w:cs="Times New Roman"/>
          <w:b w:val="false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Признать утратившим силу постановление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 w:val="false"/>
          <w:color w:val="00000A"/>
          <w:sz w:val="28"/>
          <w:szCs w:val="28"/>
        </w:rPr>
        <w:t xml:space="preserve">администрации Никифоровского района от 21.04.2023 №187 «О </w:t>
      </w:r>
      <w:r>
        <w:rPr>
          <w:rFonts w:cs="Times New Roman"/>
          <w:b w:val="false"/>
          <w:sz w:val="28"/>
          <w:szCs w:val="28"/>
        </w:rPr>
        <w:t>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организациях Никифоровского  района».</w:t>
      </w:r>
    </w:p>
    <w:p>
      <w:pPr>
        <w:pStyle w:val="style0"/>
        <w:widowControl w:val="false"/>
        <w:suppressAutoHyphens w:val="true"/>
        <w:spacing w:after="0" w:before="0" w:line="200" w:lineRule="atLeast"/>
        <w:ind w:firstLine="15" w:left="-285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печатном средстве массовой информации органов местного самоуправления Никифоровского  муниципального округа Тамбовской области «Официальный вестник Никифоровского  муниципального округа», разместить на сайте сетевого издания «РИА «ТОП68» и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на официальном сайте администрации  округа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69"/>
        <w:widowControl/>
        <w:tabs>
          <w:tab w:leader="none" w:pos="120" w:val="left"/>
          <w:tab w:leader="none" w:pos="708" w:val="left"/>
        </w:tabs>
        <w:suppressAutoHyphens w:val="true"/>
        <w:spacing w:after="0" w:before="0" w:line="200" w:lineRule="atLeast"/>
        <w:ind w:firstLine="30" w:left="-255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5. Контроль за выполнением данного постановления возложить на заместителя главы администрации  Никифоровского муниципального округа Т.Ю.Березину</w:t>
      </w:r>
    </w:p>
    <w:p>
      <w:pPr>
        <w:pStyle w:val="style82"/>
        <w:spacing w:after="0" w:before="0" w:line="200" w:lineRule="atLeast"/>
        <w:ind w:hanging="0" w:left="-284" w:right="0"/>
        <w:contextualSpacing w:val="false"/>
        <w:jc w:val="both"/>
        <w:rPr/>
      </w:pPr>
      <w:r>
        <w:rPr/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/>
      </w:pPr>
      <w:r>
        <w:rPr/>
      </w:r>
    </w:p>
    <w:tbl>
      <w:tblPr>
        <w:jc w:val="left"/>
        <w:tblInd w:type="dxa" w:w="-117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2"/>
        <w:gridCol w:w="4266"/>
      </w:tblGrid>
      <w:tr>
        <w:trPr>
          <w:cantSplit w:val="false"/>
        </w:trPr>
        <w:tc>
          <w:tcPr>
            <w:tcW w:type="dxa" w:w="520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Никифоровского</w:t>
            </w:r>
          </w:p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       </w:t>
            </w:r>
          </w:p>
        </w:tc>
        <w:tc>
          <w:tcPr>
            <w:tcW w:type="dxa" w:w="426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69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Е.В. Голенков</w:t>
            </w:r>
          </w:p>
        </w:tc>
      </w:tr>
    </w:tbl>
    <w:p>
      <w:pPr>
        <w:pStyle w:val="style0"/>
        <w:spacing w:after="0" w:before="0" w:line="100" w:lineRule="atLeast"/>
        <w:ind w:hanging="0" w:left="-284" w:right="0"/>
        <w:contextualSpacing w:val="false"/>
        <w:jc w:val="both"/>
        <w:rPr/>
      </w:pPr>
      <w:r>
        <w:rPr/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Заместитель главы 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администрации  Никифоровского  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муниципального   округа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«____» _____ 2024                                                             Т.Ю.Березина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Управляющий делами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администрации Никифоровского  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муниципального   округа 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«____» _____ 2024</w:t>
        <w:tab/>
        <w:tab/>
        <w:tab/>
        <w:tab/>
        <w:tab/>
        <w:tab/>
        <w:t xml:space="preserve">   С.В.Денисова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Заместитель начальника  правового отдела </w:t>
      </w:r>
    </w:p>
    <w:p>
      <w:pPr>
        <w:pStyle w:val="style79"/>
        <w:spacing w:after="0" w:before="0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администрации Никифоровского</w:t>
      </w:r>
    </w:p>
    <w:p>
      <w:pPr>
        <w:pStyle w:val="style79"/>
        <w:spacing w:after="0" w:before="0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муниципального округа</w:t>
      </w:r>
    </w:p>
    <w:p>
      <w:pPr>
        <w:pStyle w:val="style79"/>
        <w:spacing w:after="171" w:before="171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«____» __________ 2024                                                    О.А. Поляков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Начальник отдела образования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Никифоровского  </w:t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муниципального   округа</w:t>
      </w:r>
    </w:p>
    <w:p>
      <w:pPr>
        <w:pStyle w:val="style0"/>
        <w:spacing w:after="0" w:before="0" w:line="20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«____» _____ 2024                                                              Н.В.Мажорова </w:t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69"/>
        <w:spacing w:after="0" w:before="0" w:line="100" w:lineRule="atLeast"/>
        <w:contextualSpacing w:val="fals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>
      <w:pPr>
        <w:pStyle w:val="style69"/>
        <w:spacing w:after="0" w:before="0" w:line="100" w:lineRule="atLeast"/>
        <w:contextualSpacing w:val="fals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>
      <w:pPr>
        <w:pStyle w:val="style69"/>
        <w:spacing w:after="0" w:before="0" w:line="100" w:lineRule="atLeast"/>
        <w:contextualSpacing w:val="fals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</w:p>
    <w:p>
      <w:pPr>
        <w:pStyle w:val="style69"/>
        <w:spacing w:after="0" w:before="0" w:line="100" w:lineRule="atLeast"/>
        <w:contextualSpacing w:val="fals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</w:p>
    <w:p>
      <w:pPr>
        <w:pStyle w:val="style69"/>
        <w:spacing w:after="0" w:before="0" w:line="100" w:lineRule="atLeast"/>
        <w:contextualSpacing w:val="fals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Никифоровского округа</w:t>
      </w:r>
    </w:p>
    <w:p>
      <w:pPr>
        <w:pStyle w:val="style69"/>
        <w:spacing w:after="0" w:before="0" w:line="100" w:lineRule="atLeast"/>
        <w:ind w:hanging="0" w:left="-284" w:right="0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от </w:t>
      </w:r>
      <w:r>
        <w:rPr>
          <w:rFonts w:ascii="Times New Roman" w:cs="Times New Roman" w:hAnsi="Times New Roman"/>
          <w:sz w:val="24"/>
          <w:szCs w:val="24"/>
        </w:rPr>
        <w:t>15.03.2024</w:t>
      </w:r>
      <w:r>
        <w:rPr>
          <w:rFonts w:ascii="Times New Roman" w:cs="Times New Roman" w:hAnsi="Times New Roman"/>
          <w:sz w:val="24"/>
          <w:szCs w:val="24"/>
        </w:rPr>
        <w:t xml:space="preserve">   № </w:t>
      </w:r>
      <w:r>
        <w:rPr>
          <w:rFonts w:ascii="Times New Roman" w:cs="Times New Roman" w:hAnsi="Times New Roman"/>
          <w:sz w:val="24"/>
          <w:szCs w:val="24"/>
        </w:rPr>
        <w:t>330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81"/>
        <w:spacing w:after="0" w:before="0" w:line="200" w:lineRule="atLeast"/>
        <w:contextualSpacing w:val="false"/>
        <w:jc w:val="left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 xml:space="preserve">                                              </w:t>
      </w:r>
    </w:p>
    <w:p>
      <w:pPr>
        <w:pStyle w:val="style81"/>
        <w:spacing w:after="0" w:before="0" w:line="200" w:lineRule="atLeast"/>
        <w:contextualSpacing w:val="false"/>
        <w:jc w:val="left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 xml:space="preserve">                                                 </w:t>
      </w:r>
      <w:r>
        <w:rPr>
          <w:rFonts w:ascii="Times New Roman" w:cs="Times New Roman" w:hAnsi="Times New Roman"/>
          <w:b w:val="false"/>
          <w:sz w:val="28"/>
          <w:szCs w:val="28"/>
        </w:rPr>
        <w:t>Порядок</w:t>
      </w:r>
    </w:p>
    <w:p>
      <w:pPr>
        <w:pStyle w:val="style81"/>
        <w:spacing w:after="0" w:before="0" w:line="200" w:lineRule="atLeast"/>
        <w:ind w:hanging="0" w:left="-284" w:right="0"/>
        <w:contextualSpacing w:val="false"/>
        <w:jc w:val="center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>предоставления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организациях Никифоровского  муниципального округа</w:t>
      </w:r>
    </w:p>
    <w:p>
      <w:pPr>
        <w:pStyle w:val="style81"/>
        <w:spacing w:after="0" w:before="0" w:line="200" w:lineRule="atLeast"/>
        <w:contextualSpacing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81"/>
        <w:widowControl w:val="false"/>
        <w:suppressAutoHyphens w:val="true"/>
        <w:spacing w:after="0" w:before="0" w:line="200" w:lineRule="atLeast"/>
        <w:ind w:firstLine="15" w:left="-480" w:right="0"/>
        <w:contextualSpacing w:val="false"/>
        <w:jc w:val="both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 xml:space="preserve">  </w:t>
      </w:r>
      <w:r>
        <w:rPr>
          <w:rFonts w:ascii="Times New Roman" w:cs="Times New Roman" w:hAnsi="Times New Roman"/>
          <w:b w:val="false"/>
          <w:sz w:val="28"/>
          <w:szCs w:val="28"/>
        </w:rPr>
        <w:t>1. Порядок предоставления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организациях Никифоровского муниципального округа, определяет цели, категории получателей, виды предоставления мер социальной поддержки, а также условия их получения (далее соответственно - Порядок, мера социальной поддержки, участники специальной военной операции, специальная военная операция).</w:t>
      </w:r>
    </w:p>
    <w:p>
      <w:pPr>
        <w:pStyle w:val="style81"/>
        <w:widowControl w:val="false"/>
        <w:suppressAutoHyphens w:val="true"/>
        <w:spacing w:after="0" w:before="0" w:line="200" w:lineRule="atLeast"/>
        <w:ind w:hanging="15" w:left="-540" w:right="0"/>
        <w:contextualSpacing w:val="false"/>
        <w:jc w:val="both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 xml:space="preserve">     </w:t>
      </w:r>
      <w:r>
        <w:rPr>
          <w:rFonts w:ascii="Times New Roman" w:cs="Times New Roman" w:hAnsi="Times New Roman"/>
          <w:b w:val="false"/>
          <w:sz w:val="28"/>
          <w:szCs w:val="28"/>
        </w:rPr>
        <w:t>2.  Целью настоящего Порядка является социальная поддержка участников   специальной военной операции, дети которых обучаются в муниципальных образовательных организациях Никифоровского  муниципального округа, в виде следующих мер:</w:t>
      </w:r>
    </w:p>
    <w:p>
      <w:pPr>
        <w:pStyle w:val="style0"/>
        <w:widowControl/>
        <w:tabs>
          <w:tab w:leader="none" w:pos="375" w:val="left"/>
          <w:tab w:leader="none" w:pos="708" w:val="left"/>
        </w:tabs>
        <w:suppressAutoHyphens w:val="true"/>
        <w:spacing w:after="0" w:before="0" w:line="200" w:lineRule="atLeast"/>
        <w:ind w:hanging="15" w:left="-600" w:right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предоставления бесплатного горячего питания детям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обучающимся в муниципальных образовательных организациях, реализующих программы начального общего, основного общего, среднего общего образования;</w:t>
      </w:r>
    </w:p>
    <w:p>
      <w:pPr>
        <w:pStyle w:val="style82"/>
        <w:widowControl w:val="false"/>
        <w:suppressAutoHyphens w:val="true"/>
        <w:spacing w:after="0" w:before="0" w:line="200" w:lineRule="atLeast"/>
        <w:ind w:hanging="0" w:left="-51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освобождения от родительской платы, взимаемой с родителей (законных представителей) за присмотр и уход за детьми в муниципальных образовательных организациях, реализующих программы дошкольного, начального, основного, среднего общего образования (далее родительская плата, взимаемая с родителей (законных представителей) за  присмотр и уход за детьми); </w:t>
      </w:r>
    </w:p>
    <w:p>
      <w:pPr>
        <w:pStyle w:val="style82"/>
        <w:widowControl w:val="false"/>
        <w:suppressAutoHyphens w:val="true"/>
        <w:spacing w:after="0" w:before="0" w:line="200" w:lineRule="atLeast"/>
        <w:ind w:hanging="0" w:left="-525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освобождения от взимания стоимости обучения за платные образовательные услуги  обучающимся в муниципальных образовательных организациях Никифоровского муниципального округа, реализующих программы  дошкольного, начального общего, основного общего, среднего общего образования, дополнительного образования (далее - плата за образовательные услуги) .</w:t>
      </w:r>
    </w:p>
    <w:p>
      <w:pPr>
        <w:pStyle w:val="style81"/>
        <w:widowControl w:val="false"/>
        <w:tabs>
          <w:tab w:leader="none" w:pos="30" w:val="left"/>
        </w:tabs>
        <w:suppressAutoHyphens w:val="true"/>
        <w:spacing w:after="0" w:before="0" w:line="200" w:lineRule="atLeast"/>
        <w:ind w:firstLine="15" w:left="-300" w:right="0"/>
        <w:contextualSpacing w:val="false"/>
        <w:jc w:val="both"/>
        <w:rPr>
          <w:rFonts w:ascii="Times New Roman" w:cs="Times New Roman" w:hAnsi="Times New Roman"/>
          <w:b w:val="false"/>
          <w:sz w:val="28"/>
          <w:szCs w:val="28"/>
        </w:rPr>
      </w:pPr>
      <w:r>
        <w:rPr>
          <w:rFonts w:ascii="Times New Roman" w:cs="Times New Roman" w:hAnsi="Times New Roman"/>
          <w:b w:val="false"/>
          <w:sz w:val="28"/>
          <w:szCs w:val="28"/>
        </w:rPr>
        <w:t xml:space="preserve">   </w:t>
      </w:r>
      <w:r>
        <w:rPr>
          <w:rFonts w:ascii="Times New Roman" w:cs="Times New Roman" w:hAnsi="Times New Roman"/>
          <w:b w:val="false"/>
          <w:sz w:val="28"/>
          <w:szCs w:val="28"/>
        </w:rPr>
        <w:t>При наличии права на меры социальной поддержки в соответствии с настоящим Порядком и одновременно права на аналогичные меры социальной поддержки по федеральному закону и (или) иному нормативному праву акту Российской Федерации, по закону Тамбовской области и (или) иному нормативному правовому акту Тамбовской области предоставление мер социальной поддержки производится по одному основанию по выбору родителя ( законного представителя) ребёнка.</w:t>
      </w:r>
    </w:p>
    <w:p>
      <w:pPr>
        <w:pStyle w:val="style82"/>
        <w:widowControl w:val="false"/>
        <w:suppressAutoHyphens w:val="true"/>
        <w:spacing w:after="0" w:before="0" w:line="200" w:lineRule="atLeast"/>
        <w:ind w:firstLine="15" w:left="-255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Под детьми участников специальной военной операции в настоящем Порядке понимаются дети, не достигшие возраста 18 лет, а также дети, не достигшие возраста 23 лет, обучающиеся в образовательных организациях по очной форме обучения, отцом(матерью),усыновителем,опекуном (попечителем) которых является гражданин.»;</w:t>
      </w:r>
    </w:p>
    <w:p>
      <w:pPr>
        <w:pStyle w:val="style82"/>
        <w:widowControl w:val="false"/>
        <w:suppressAutoHyphens w:val="true"/>
        <w:spacing w:after="0" w:before="0" w:line="200" w:lineRule="atLeast"/>
        <w:ind w:firstLine="30" w:left="-270" w:right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3.1. принимающий участие в специальной военной операции в качестве лица:</w:t>
      </w:r>
    </w:p>
    <w:p>
      <w:pPr>
        <w:pStyle w:val="style82"/>
        <w:widowControl w:val="false"/>
        <w:suppressAutoHyphens w:val="true"/>
        <w:spacing w:after="0" w:before="0" w:line="200" w:lineRule="atLeast"/>
        <w:ind w:firstLine="15" w:left="-210" w:right="0"/>
        <w:contextualSpacing w:val="false"/>
        <w:jc w:val="both"/>
        <w:rPr>
          <w:sz w:val="28"/>
          <w:szCs w:val="28"/>
        </w:rPr>
      </w:pPr>
      <w:bookmarkStart w:id="0" w:name="Par53"/>
      <w:bookmarkEnd w:id="0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призванного военным комиссариатом Тамбовской области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(далее - мобилизованные граждане);</w:t>
      </w:r>
    </w:p>
    <w:p>
      <w:pPr>
        <w:pStyle w:val="style82"/>
        <w:widowControl w:val="false"/>
        <w:suppressAutoHyphens w:val="true"/>
        <w:spacing w:after="0" w:before="0" w:line="200" w:lineRule="atLeast"/>
        <w:ind w:firstLine="15" w:left="-210" w:right="0"/>
        <w:contextualSpacing w:val="false"/>
        <w:jc w:val="both"/>
        <w:rPr>
          <w:sz w:val="28"/>
          <w:szCs w:val="28"/>
        </w:rPr>
      </w:pPr>
      <w:bookmarkStart w:id="1" w:name="Par54"/>
      <w:bookmarkEnd w:id="1"/>
      <w:r>
        <w:rPr>
          <w:sz w:val="28"/>
          <w:szCs w:val="28"/>
        </w:rPr>
        <w:tab/>
        <w:tab/>
        <w:t>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военным комиссариатом других субъектов Российской Федерации;</w:t>
      </w:r>
    </w:p>
    <w:p>
      <w:pPr>
        <w:pStyle w:val="style82"/>
        <w:widowControl w:val="false"/>
        <w:suppressAutoHyphens w:val="true"/>
        <w:spacing w:after="0" w:before="0" w:line="200" w:lineRule="atLeast"/>
        <w:ind w:firstLine="15" w:left="-225" w:right="0"/>
        <w:contextualSpacing w:val="false"/>
        <w:jc w:val="both"/>
        <w:rPr>
          <w:color w:val="000000"/>
          <w:sz w:val="28"/>
          <w:szCs w:val="28"/>
        </w:rPr>
      </w:pPr>
      <w:bookmarkStart w:id="2" w:name="Par55"/>
      <w:bookmarkEnd w:id="2"/>
      <w:r>
        <w:rPr>
          <w:sz w:val="28"/>
          <w:szCs w:val="28"/>
        </w:rPr>
        <w:tab/>
        <w:tab/>
        <w:t xml:space="preserve">проходящего военную службу в Вооруженных Силах Российской  Федерации по контракту, находящегося на военной службе в войсках национальной гвардии Российской Федерации, находящегося в воинских формированиях и органах, указанных в пункте 6 статьи 1 Федерального закона от 31.05.1996 N 61-ФЗ "Об обороне", заключившего контракт о </w:t>
      </w:r>
      <w:r>
        <w:rPr>
          <w:color w:val="000000"/>
          <w:sz w:val="28"/>
          <w:szCs w:val="28"/>
        </w:rPr>
        <w:t>добровольном содействии в выполнении задач, возложенных на Вооруженные Силы Российской Федерации, изъявившего добровольное желание принять участие в специальной военной операции в составе отрядов "БАРС";</w:t>
      </w:r>
    </w:p>
    <w:p>
      <w:pPr>
        <w:pStyle w:val="style82"/>
        <w:widowControl w:val="false"/>
        <w:suppressAutoHyphens w:val="true"/>
        <w:spacing w:after="0" w:before="0" w:line="200" w:lineRule="atLeast"/>
        <w:ind w:firstLine="15" w:left="-165" w:right="0"/>
        <w:contextualSpacing w:val="false"/>
        <w:jc w:val="both"/>
        <w:rPr>
          <w:color w:val="000000"/>
          <w:sz w:val="28"/>
          <w:szCs w:val="28"/>
        </w:rPr>
      </w:pPr>
      <w:bookmarkStart w:id="3" w:name="Par56"/>
      <w:bookmarkEnd w:id="3"/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3.2. получивший увечье (ранение, травму, контузию) при исполнении обязанностей военной службы (службы) в ходе специальной военной операции в качестве лица, указанного в </w:t>
      </w:r>
      <w:hyperlink w:anchor="Par53">
        <w:r>
          <w:rPr>
            <w:rStyle w:val="style55"/>
            <w:color w:val="000000"/>
            <w:sz w:val="28"/>
            <w:szCs w:val="28"/>
          </w:rPr>
          <w:t>абзацах втором</w:t>
        </w:r>
      </w:hyperlink>
      <w:r>
        <w:rPr>
          <w:color w:val="000000"/>
          <w:sz w:val="28"/>
          <w:szCs w:val="28"/>
        </w:rPr>
        <w:t xml:space="preserve"> или </w:t>
      </w:r>
      <w:r>
        <w:rPr>
          <w:rStyle w:val="style55"/>
          <w:color w:val="000000"/>
          <w:sz w:val="28"/>
          <w:szCs w:val="28"/>
        </w:rPr>
        <w:t>третьем подпункта 3.1 пункта 3</w:t>
      </w:r>
      <w:r>
        <w:rPr>
          <w:color w:val="000000"/>
          <w:sz w:val="28"/>
          <w:szCs w:val="28"/>
        </w:rPr>
        <w:t xml:space="preserve"> настоящего Порядка;</w:t>
      </w:r>
    </w:p>
    <w:p>
      <w:pPr>
        <w:pStyle w:val="style82"/>
        <w:widowControl w:val="false"/>
        <w:suppressAutoHyphens w:val="true"/>
        <w:spacing w:after="0" w:before="0" w:line="200" w:lineRule="atLeast"/>
        <w:ind w:hanging="15" w:left="-210" w:right="0"/>
        <w:contextualSpacing w:val="false"/>
        <w:jc w:val="both"/>
        <w:rPr>
          <w:color w:val="000000"/>
          <w:sz w:val="28"/>
          <w:szCs w:val="28"/>
        </w:rPr>
      </w:pPr>
      <w:bookmarkStart w:id="4" w:name="Par57"/>
      <w:bookmarkEnd w:id="4"/>
      <w:r>
        <w:rPr>
          <w:color w:val="000000"/>
          <w:sz w:val="28"/>
          <w:szCs w:val="28"/>
        </w:rPr>
        <w:tab/>
        <w:tab/>
        <w:t xml:space="preserve">   3.3. погибший (умерший) вследствие увечья (ранения, травмы, контузии) или заболевания, полученного им при исполнении обязанностей военной службы (службы) в ходе специальной военной операции в качестве лица, указанного в </w:t>
      </w:r>
      <w:hyperlink w:anchor="Par53">
        <w:r>
          <w:rPr>
            <w:rStyle w:val="style55"/>
            <w:color w:val="000000"/>
            <w:sz w:val="28"/>
            <w:szCs w:val="28"/>
          </w:rPr>
          <w:t>абзацах втором</w:t>
        </w:r>
      </w:hyperlink>
      <w:r>
        <w:rPr>
          <w:color w:val="000000"/>
          <w:sz w:val="28"/>
          <w:szCs w:val="28"/>
        </w:rPr>
        <w:t xml:space="preserve"> или </w:t>
      </w:r>
      <w:r>
        <w:rPr>
          <w:rStyle w:val="style55"/>
          <w:color w:val="000000"/>
          <w:sz w:val="28"/>
          <w:szCs w:val="28"/>
        </w:rPr>
        <w:t>третьем подпункта 3.1 пункта 3</w:t>
      </w:r>
      <w:r>
        <w:rPr>
          <w:color w:val="000000"/>
          <w:sz w:val="28"/>
          <w:szCs w:val="28"/>
        </w:rPr>
        <w:t xml:space="preserve"> настоящего Порядка.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Для лиц, указанных в </w:t>
      </w:r>
      <w:hyperlink w:anchor="Par53">
        <w:r>
          <w:rPr>
            <w:rStyle w:val="style55"/>
            <w:color w:val="000000"/>
            <w:sz w:val="28"/>
            <w:szCs w:val="28"/>
          </w:rPr>
          <w:t>абзаце втором подпункта 3.1 пункта 3</w:t>
        </w:r>
      </w:hyperlink>
      <w:r>
        <w:rPr>
          <w:color w:val="000000"/>
          <w:sz w:val="28"/>
          <w:szCs w:val="28"/>
        </w:rPr>
        <w:t xml:space="preserve"> настоящего Порядка, предоставление мер социальной поддержки носит беззаявительный характер.</w:t>
      </w:r>
    </w:p>
    <w:p>
      <w:pPr>
        <w:pStyle w:val="style0"/>
        <w:spacing w:after="0" w:before="0" w:line="200" w:lineRule="atLeast"/>
        <w:ind w:firstLine="567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Образовательные организации на основании письменного обращения (далее - обращение) родителя (законного представителя) ребенка, указанного в </w:t>
      </w:r>
      <w:hyperlink w:anchor="Par53">
        <w:r>
          <w:rPr>
            <w:rStyle w:val="style55"/>
            <w:rFonts w:ascii="Times New Roman" w:hAnsi="Times New Roman"/>
            <w:color w:val="000000"/>
            <w:sz w:val="28"/>
            <w:szCs w:val="28"/>
          </w:rPr>
          <w:t>абзаце втором подпункта 3.1 пункта 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Порядка, самостоятельно не позднее рабочего дня, следующего за днем поступления обращения, в рамках межведомственного информационного взаимодействия запрашивают в ТОГБУСОН «Центр социальных услуг для населения Никифоровского района» информацию, подтверждающую получение мобилизованным гражданином единовременной денежной выплаты, предусмотренной постановлением Правительства Тамбовской области от 14.10.2022 № 30 "О дополнительной социальной поддержке граждан, призванных военным комиссариатом Тамбовской области на военную службу по мобилизации в Вооруженные Силы Российской Федерации" (далее - единовременная денежная выплата).</w:t>
      </w:r>
    </w:p>
    <w:p>
      <w:pPr>
        <w:pStyle w:val="style0"/>
        <w:spacing w:after="0" w:before="0" w:line="200" w:lineRule="atLeast"/>
        <w:ind w:firstLine="567" w:left="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ТОГБУСОН «Центр социальных услуг для населения Никифоровского района», в рамках межведомственного информационного взаимодействия по запросу образовательных организаций представляет информацию, подтверждающую получение мобилизованным гражданином единовременной денежной выплаты в срок не позднее 5 рабочих дней со дня поступления запроса образовательных организаций.</w:t>
      </w:r>
    </w:p>
    <w:p>
      <w:pPr>
        <w:pStyle w:val="style82"/>
        <w:spacing w:after="0" w:before="0" w:line="200" w:lineRule="atLeast"/>
        <w:ind w:firstLine="539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Для реализации права на предоставление мер социальной поддержки для лиц, указанных в </w:t>
      </w:r>
      <w:r>
        <w:rPr>
          <w:rStyle w:val="style55"/>
          <w:color w:val="000000"/>
          <w:sz w:val="28"/>
          <w:szCs w:val="28"/>
        </w:rPr>
        <w:t>абзацах третьем</w:t>
      </w:r>
      <w:r>
        <w:rPr>
          <w:color w:val="000000"/>
          <w:sz w:val="28"/>
          <w:szCs w:val="28"/>
        </w:rPr>
        <w:t xml:space="preserve"> и </w:t>
      </w:r>
      <w:hyperlink w:anchor="Par55">
        <w:r>
          <w:rPr>
            <w:rStyle w:val="style55"/>
            <w:color w:val="000000"/>
            <w:sz w:val="28"/>
            <w:szCs w:val="28"/>
          </w:rPr>
          <w:t>четвертом подпункта 3.1</w:t>
        </w:r>
      </w:hyperlink>
      <w:r>
        <w:rPr>
          <w:color w:val="000000"/>
          <w:sz w:val="28"/>
          <w:szCs w:val="28"/>
        </w:rPr>
        <w:t xml:space="preserve">, </w:t>
      </w:r>
      <w:hyperlink w:anchor="Par56">
        <w:r>
          <w:rPr>
            <w:rStyle w:val="style55"/>
            <w:color w:val="000000"/>
            <w:sz w:val="28"/>
            <w:szCs w:val="28"/>
          </w:rPr>
          <w:t>подпунктах 3.2</w:t>
        </w:r>
      </w:hyperlink>
      <w:r>
        <w:rPr>
          <w:color w:val="000000"/>
          <w:sz w:val="28"/>
          <w:szCs w:val="28"/>
        </w:rPr>
        <w:t xml:space="preserve"> и </w:t>
      </w:r>
      <w:hyperlink w:anchor="Par57">
        <w:r>
          <w:rPr>
            <w:rStyle w:val="style55"/>
            <w:color w:val="000000"/>
            <w:sz w:val="28"/>
            <w:szCs w:val="28"/>
          </w:rPr>
          <w:t>3.3 пункта 3</w:t>
        </w:r>
      </w:hyperlink>
      <w:r>
        <w:rPr>
          <w:color w:val="000000"/>
          <w:sz w:val="28"/>
          <w:szCs w:val="28"/>
        </w:rPr>
        <w:t xml:space="preserve"> настоящего Порядка, родитель (законный представитель) ребенка участника специальной военной операции подает в образовательную организацию заявление на предоставление бесплатного горячего питания детям участников специальной военной операции и (или) заявление об освобождении от платы за образовательные услуги.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заявлению прилагается документ (документы), подтверждающий (подтверждающие) соответствие участника одной из категорий граждан, указанных в </w:t>
      </w:r>
      <w:r>
        <w:rPr>
          <w:rStyle w:val="style55"/>
          <w:color w:val="000000"/>
          <w:sz w:val="28"/>
          <w:szCs w:val="28"/>
        </w:rPr>
        <w:t>абзаце третьем подпункта 3.1</w:t>
      </w:r>
      <w:r>
        <w:rPr>
          <w:color w:val="000000"/>
          <w:sz w:val="28"/>
          <w:szCs w:val="28"/>
        </w:rPr>
        <w:t xml:space="preserve"> и </w:t>
      </w:r>
      <w:hyperlink w:anchor="Par56">
        <w:r>
          <w:rPr>
            <w:rStyle w:val="style55"/>
            <w:color w:val="000000"/>
            <w:sz w:val="28"/>
            <w:szCs w:val="28"/>
          </w:rPr>
          <w:t>подпунктах 3.2</w:t>
        </w:r>
      </w:hyperlink>
      <w:r>
        <w:rPr>
          <w:color w:val="000000"/>
          <w:sz w:val="28"/>
          <w:szCs w:val="28"/>
        </w:rPr>
        <w:t xml:space="preserve"> и </w:t>
      </w:r>
      <w:hyperlink w:anchor="Par57">
        <w:r>
          <w:rPr>
            <w:rStyle w:val="style55"/>
            <w:color w:val="000000"/>
            <w:sz w:val="28"/>
            <w:szCs w:val="28"/>
          </w:rPr>
          <w:t>3.3 пункта 3</w:t>
        </w:r>
      </w:hyperlink>
      <w:r>
        <w:rPr>
          <w:color w:val="000000"/>
          <w:sz w:val="28"/>
          <w:szCs w:val="28"/>
        </w:rPr>
        <w:t xml:space="preserve"> настоящего Порядка: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содержащий сведения об участии в специальной военной операции (справка из военной части);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 о получении увечья (ранения, травмы, контузии), выданный военно-медицинской организацией, либо заключение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 - для лиц, указанных в </w:t>
      </w:r>
      <w:hyperlink w:anchor="Par56">
        <w:r>
          <w:rPr>
            <w:rStyle w:val="style55"/>
            <w:color w:val="000000"/>
            <w:sz w:val="28"/>
            <w:szCs w:val="28"/>
          </w:rPr>
          <w:t>подпункте 3.2 пункта 3</w:t>
        </w:r>
      </w:hyperlink>
      <w:r>
        <w:rPr>
          <w:color w:val="000000"/>
          <w:sz w:val="28"/>
          <w:szCs w:val="28"/>
        </w:rPr>
        <w:t xml:space="preserve"> настоящего Порядка;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документ, подтверждающий гибель (смерть) вследствие увечья (ранения, травмы, контузии) или заболевания - для лиц, указанных в </w:t>
      </w:r>
      <w:hyperlink w:anchor="Par57">
        <w:r>
          <w:rPr>
            <w:rStyle w:val="style55"/>
            <w:color w:val="000000"/>
            <w:sz w:val="28"/>
            <w:szCs w:val="28"/>
          </w:rPr>
          <w:t>подпункте 3.3 пункта 3</w:t>
        </w:r>
      </w:hyperlink>
      <w:r>
        <w:rPr>
          <w:color w:val="000000"/>
          <w:sz w:val="28"/>
          <w:szCs w:val="28"/>
        </w:rPr>
        <w:t xml:space="preserve"> настоящего Порядка;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свидетельство о смерти участника специальной военной операции - для лиц, указанных в </w:t>
      </w:r>
      <w:hyperlink w:anchor="Par57">
        <w:r>
          <w:rPr>
            <w:rStyle w:val="style55"/>
            <w:color w:val="000000"/>
            <w:sz w:val="28"/>
            <w:szCs w:val="28"/>
          </w:rPr>
          <w:t>подпункте 3.3 пункта 3</w:t>
        </w:r>
      </w:hyperlink>
      <w:r>
        <w:rPr>
          <w:color w:val="000000"/>
          <w:sz w:val="28"/>
          <w:szCs w:val="28"/>
        </w:rPr>
        <w:t xml:space="preserve"> настоящего Порядка.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Днем обращения родителя (законного представителя) ребенка участника специальной военной операции за мерой социальной поддержки считается дата регистрации заявления и документов в образовательной организации в день их поступления.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Образовательная организация рассматривает обращение либо заявление, представленные документы и принимает решение о предоставлении мер социальной поддержки либо об отказе: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позднее следующего рабочего дня после дня получения ответа на межведомственный запрос (в случае если требовался межведомственный запрос);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позднее следующего рабочего дня после дня поступления заявления родителя (законного представителя) ребенка участника специальной военной операции.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предоставлении мер социальной поддержки оформляется локальным актом образовательной организации.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Основаниями для принятия образовательной организацией решения об отказе в предоставлении мер социальной поддержки являются: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несоответствие категории лиц, установленных в </w:t>
      </w:r>
      <w:hyperlink w:anchor="Par51">
        <w:r>
          <w:rPr>
            <w:rStyle w:val="style55"/>
            <w:color w:val="000000"/>
            <w:sz w:val="28"/>
            <w:szCs w:val="28"/>
          </w:rPr>
          <w:t>пункте 3</w:t>
        </w:r>
      </w:hyperlink>
      <w:r>
        <w:rPr>
          <w:color w:val="000000"/>
          <w:sz w:val="28"/>
          <w:szCs w:val="28"/>
        </w:rPr>
        <w:t xml:space="preserve"> настоящего Порядка;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непредставление документов или представление неполного перечня документов, за исключением документов, запрашиваемых в порядке межведомственного информационного взаимодействия.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специальной военной операции не является отцом (матерью), усыновителем, опекуном (попечителем) ребенка, обучающегося в образовательной организации.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Образовательная организация в течение одного рабочего дня со дня принятия соответствующего решения любым доступным способом уведомляет родителя (законного представителя) ребенка участника специальной военной операции о принятом решении о предоставлении мер социальной поддержки либо об отказе с указанием причин отказа.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Решение об отказе может быть обжаловано в порядке, установленном действующим законодательством.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Предоставление мер социальной поддержки осуществляется со дня, следующего за днем принятия образовательной организацией решения о предоставлении мер социальной поддержки.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bookmarkStart w:id="5" w:name="Par79"/>
      <w:bookmarkEnd w:id="5"/>
      <w:r>
        <w:rPr>
          <w:color w:val="000000"/>
          <w:sz w:val="28"/>
          <w:szCs w:val="28"/>
        </w:rPr>
        <w:t>12. Предоставление мер социальной поддержки прекращается при наличии следующих обстоятельств: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прекращение посещения ребенком участника специальной военной операции образовательной организации;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 родителя (законного представителя) ребенка участника специальной военной операции в образовательную организацию с заявлением о прекращении предоставления мер социальной поддержки;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bookmarkStart w:id="6" w:name="Par82"/>
      <w:bookmarkEnd w:id="6"/>
      <w:r>
        <w:rPr>
          <w:color w:val="000000"/>
          <w:sz w:val="28"/>
          <w:szCs w:val="28"/>
        </w:rPr>
        <w:t>прекращение опеки (попечительства) над ребенком участника специальной военной операции - в случае, если участник является опекуном (попечителем) ребенка;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bookmarkStart w:id="7" w:name="Par83"/>
      <w:bookmarkEnd w:id="7"/>
      <w:r>
        <w:rPr>
          <w:color w:val="000000"/>
          <w:sz w:val="28"/>
          <w:szCs w:val="28"/>
        </w:rPr>
        <w:t xml:space="preserve">окончание военной службы по мобилизации - для лиц, указанных в </w:t>
      </w:r>
      <w:hyperlink w:anchor="Par53">
        <w:r>
          <w:rPr>
            <w:rStyle w:val="style55"/>
            <w:color w:val="000000"/>
            <w:sz w:val="28"/>
            <w:szCs w:val="28"/>
          </w:rPr>
          <w:t>абзацах втором</w:t>
        </w:r>
      </w:hyperlink>
      <w:r>
        <w:rPr>
          <w:color w:val="000000"/>
          <w:sz w:val="28"/>
          <w:szCs w:val="28"/>
        </w:rPr>
        <w:t xml:space="preserve"> и </w:t>
      </w:r>
      <w:r>
        <w:rPr>
          <w:rStyle w:val="style55"/>
          <w:color w:val="000000"/>
          <w:sz w:val="28"/>
          <w:szCs w:val="28"/>
        </w:rPr>
        <w:t>третьем подпункта 3.1 пункта 3</w:t>
      </w:r>
      <w:r>
        <w:rPr>
          <w:color w:val="000000"/>
          <w:sz w:val="28"/>
          <w:szCs w:val="28"/>
        </w:rPr>
        <w:t xml:space="preserve"> настоящего Порядка;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окончание специальной военной операции - для лиц, указанных в </w:t>
      </w:r>
      <w:hyperlink w:anchor="Par57">
        <w:r>
          <w:rPr>
            <w:rStyle w:val="style55"/>
            <w:color w:val="000000"/>
            <w:sz w:val="28"/>
            <w:szCs w:val="28"/>
          </w:rPr>
          <w:t>абзаце четвертом подпункта 3.1 пункта 3.3</w:t>
        </w:r>
      </w:hyperlink>
      <w:r>
        <w:rPr>
          <w:color w:val="000000"/>
          <w:sz w:val="28"/>
          <w:szCs w:val="28"/>
        </w:rPr>
        <w:t xml:space="preserve"> настоящего Порядка;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окончание обучения ребенка в образовательной организации - для лиц, указанных в </w:t>
      </w:r>
      <w:hyperlink w:anchor="Par56">
        <w:r>
          <w:rPr>
            <w:rStyle w:val="style55"/>
            <w:color w:val="000000"/>
            <w:sz w:val="28"/>
            <w:szCs w:val="28"/>
          </w:rPr>
          <w:t>подпунктах 3.2</w:t>
        </w:r>
      </w:hyperlink>
      <w:r>
        <w:rPr>
          <w:color w:val="000000"/>
          <w:sz w:val="28"/>
          <w:szCs w:val="28"/>
        </w:rPr>
        <w:t xml:space="preserve"> и </w:t>
      </w:r>
      <w:hyperlink w:anchor="Par57">
        <w:r>
          <w:rPr>
            <w:rStyle w:val="style55"/>
            <w:color w:val="000000"/>
            <w:sz w:val="28"/>
            <w:szCs w:val="28"/>
          </w:rPr>
          <w:t>3.3 пункта 3</w:t>
        </w:r>
      </w:hyperlink>
      <w:r>
        <w:rPr>
          <w:color w:val="000000"/>
          <w:sz w:val="28"/>
          <w:szCs w:val="28"/>
        </w:rPr>
        <w:t xml:space="preserve"> настоящего Порядка.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Предоставление мер социальной поддержки детей участников специальной военной операции прекращается с первого числа месяца, следующего за месяцем, в котором образовательной организации стало известно о наступлении обстоятельств, указанных в </w:t>
      </w:r>
      <w:hyperlink w:anchor="Par79">
        <w:r>
          <w:rPr>
            <w:rStyle w:val="style55"/>
            <w:color w:val="000000"/>
            <w:sz w:val="28"/>
            <w:szCs w:val="28"/>
          </w:rPr>
          <w:t>пункте 12</w:t>
        </w:r>
      </w:hyperlink>
      <w:r>
        <w:rPr>
          <w:color w:val="000000"/>
          <w:sz w:val="28"/>
          <w:szCs w:val="28"/>
        </w:rPr>
        <w:t xml:space="preserve"> настоящего Порядка.</w:t>
      </w:r>
    </w:p>
    <w:p>
      <w:pPr>
        <w:pStyle w:val="style82"/>
        <w:spacing w:after="0" w:before="0" w:line="200" w:lineRule="atLeast"/>
        <w:ind w:firstLine="540" w:left="0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Родитель (законный представитель) ребенка участника специальной военной операции обязан извещать образовательную организацию о наступлении обстоятельств, указанных в </w:t>
      </w:r>
      <w:hyperlink w:anchor="Par82">
        <w:r>
          <w:rPr>
            <w:rStyle w:val="style55"/>
            <w:color w:val="000000"/>
            <w:sz w:val="28"/>
            <w:szCs w:val="28"/>
          </w:rPr>
          <w:t>абзацах четвертом</w:t>
        </w:r>
      </w:hyperlink>
      <w:r>
        <w:rPr>
          <w:color w:val="000000"/>
          <w:sz w:val="28"/>
          <w:szCs w:val="28"/>
        </w:rPr>
        <w:t xml:space="preserve"> и </w:t>
      </w:r>
      <w:hyperlink w:anchor="Par83">
        <w:r>
          <w:rPr>
            <w:rStyle w:val="style55"/>
            <w:color w:val="000000"/>
            <w:sz w:val="28"/>
            <w:szCs w:val="28"/>
          </w:rPr>
          <w:t>пятом пункта 12</w:t>
        </w:r>
      </w:hyperlink>
      <w:r>
        <w:rPr>
          <w:color w:val="000000"/>
          <w:sz w:val="28"/>
          <w:szCs w:val="28"/>
        </w:rPr>
        <w:t xml:space="preserve"> настоящего Порядка, в течение 10 календарных дней со дня наступления указанных обстоятельств.</w:t>
      </w:r>
    </w:p>
    <w:p>
      <w:pPr>
        <w:pStyle w:val="style69"/>
        <w:spacing w:after="0" w:before="0" w:line="2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69"/>
        <w:spacing w:after="0" w:before="0" w:line="2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25"/>
        <w:gridCol w:w="4124"/>
      </w:tblGrid>
      <w:tr>
        <w:trPr>
          <w:cantSplit w:val="false"/>
        </w:trPr>
        <w:tc>
          <w:tcPr>
            <w:tcW w:type="dxa" w:w="522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0" w:before="0" w:line="200" w:lineRule="atLeast"/>
              <w:ind w:hanging="0" w:left="-30" w:right="120"/>
              <w:contextualSpacing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type="dxa" w:w="412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200" w:lineRule="atLeast"/>
              <w:contextualSpacing w:val="false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Т.Ю.Березина</w:t>
            </w:r>
          </w:p>
        </w:tc>
      </w:tr>
    </w:tbl>
    <w:p>
      <w:pPr>
        <w:pStyle w:val="style0"/>
        <w:spacing w:after="0" w:before="0" w:line="2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69"/>
        <w:spacing w:after="0" w:before="0" w:line="200" w:lineRule="atLeast"/>
        <w:contextualSpacing w:val="false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0" w:before="0" w:line="200" w:lineRule="atLeast"/>
        <w:ind w:hanging="0" w:left="-284" w:right="0"/>
        <w:contextualSpacing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82"/>
        <w:spacing w:after="0" w:before="0" w:line="100" w:lineRule="atLeast"/>
        <w:ind w:hanging="0" w:left="-284" w:right="0"/>
        <w:contextualSpacing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82"/>
        <w:tabs>
          <w:tab w:leader="none" w:pos="-285" w:val="left"/>
        </w:tabs>
        <w:spacing w:after="0" w:before="0" w:line="100" w:lineRule="atLeast"/>
        <w:ind w:hanging="0" w:left="-284" w:right="0"/>
        <w:contextualSpacing w:val="false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69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>
      <w:pPr>
        <w:pStyle w:val="style69"/>
        <w:spacing w:after="0" w:before="0" w:line="100" w:lineRule="atLeast"/>
        <w:contextualSpacing w:val="fals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yle69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851" w:footer="0" w:gutter="0" w:header="0" w:left="1980" w:right="851" w:top="1134"/>
      <w:pgNumType w:fmt="decimal"/>
      <w:formProt w:val="false"/>
      <w:textDirection w:val="lrTb"/>
      <w:docGrid w:charSpace="2867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swiss"/>
    <w:pitch w:val="variable"/>
  </w:font>
  <w:font w:name="Calibri">
    <w:charset w:val="cc"/>
    <w:family w:val="swiss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Calibri" w:cs="Times New Roman" w:eastAsia="SimSun" w:hAnsi="Calibri"/>
      <w:color w:val="00000A"/>
      <w:sz w:val="22"/>
      <w:szCs w:val="22"/>
      <w:lang w:bidi="ar-SA" w:eastAsia="ru-RU" w:val="ru-RU"/>
    </w:rPr>
  </w:style>
  <w:style w:styleId="style1" w:type="paragraph">
    <w:name w:val="Заголовок 1"/>
    <w:basedOn w:val="style62"/>
    <w:next w:val="style1"/>
    <w:pPr>
      <w:keepNext/>
      <w:keepLines/>
      <w:widowControl w:val="false"/>
      <w:tabs>
        <w:tab w:leader="none" w:pos="0" w:val="left"/>
      </w:tabs>
      <w:suppressAutoHyphens w:val="true"/>
      <w:spacing w:after="0" w:before="480" w:line="276" w:lineRule="auto"/>
      <w:ind w:hanging="432" w:left="432" w:right="0"/>
      <w:contextualSpacing w:val="false"/>
    </w:pPr>
    <w:rPr>
      <w:rFonts w:ascii="Cambria" w:cs="" w:eastAsia="SimSun" w:hAnsi="Cambria"/>
      <w:color w:val="365F91"/>
      <w:sz w:val="28"/>
      <w:szCs w:val="22"/>
      <w:lang w:bidi="ar-SA" w:eastAsia="ru-RU" w:val="ru-RU"/>
    </w:rPr>
  </w:style>
  <w:style w:styleId="style2" w:type="paragraph">
    <w:name w:val="Заголовок 2"/>
    <w:basedOn w:val="style62"/>
    <w:next w:val="style2"/>
    <w:pPr>
      <w:keepNext/>
      <w:widowControl w:val="false"/>
      <w:tabs>
        <w:tab w:leader="none" w:pos="0" w:val="left"/>
      </w:tabs>
      <w:suppressAutoHyphens w:val="true"/>
      <w:spacing w:after="28" w:before="28" w:line="276" w:lineRule="auto"/>
      <w:ind w:hanging="576" w:left="576" w:right="0"/>
      <w:contextualSpacing w:val="false"/>
      <w:jc w:val="center"/>
    </w:pPr>
    <w:rPr>
      <w:rFonts w:ascii="Calibri" w:cs="" w:eastAsia="SimSun" w:hAnsi="Calibri"/>
      <w:color w:val="00000A"/>
      <w:sz w:val="28"/>
      <w:szCs w:val="22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WW8Num2z0"/>
    <w:next w:val="style16"/>
    <w:rPr>
      <w:rFonts w:ascii="Symbol" w:cs="Symbol" w:hAnsi="Symbol"/>
    </w:rPr>
  </w:style>
  <w:style w:styleId="style17" w:type="character">
    <w:name w:val="WW8Num3z0"/>
    <w:next w:val="style17"/>
    <w:rPr>
      <w:rFonts w:ascii="Wingdings" w:cs="Wingdings" w:hAnsi="Wingdings"/>
    </w:rPr>
  </w:style>
  <w:style w:styleId="style18" w:type="character">
    <w:name w:val="WW8Num4z0"/>
    <w:next w:val="style18"/>
    <w:rPr>
      <w:rFonts w:ascii="Wingdings" w:cs="Wingdings" w:hAnsi="Wingdings"/>
    </w:rPr>
  </w:style>
  <w:style w:styleId="style19" w:type="character">
    <w:name w:val="WW8Num5z0"/>
    <w:next w:val="style19"/>
    <w:rPr>
      <w:rFonts w:ascii="Wingdings" w:cs="Wingdings" w:hAnsi="Wingdings"/>
    </w:rPr>
  </w:style>
  <w:style w:styleId="style20" w:type="character">
    <w:name w:val="WW8Num6z0"/>
    <w:next w:val="style20"/>
    <w:rPr>
      <w:rFonts w:ascii="Wingdings" w:cs="Wingdings" w:hAnsi="Wingdings"/>
    </w:rPr>
  </w:style>
  <w:style w:styleId="style21" w:type="character">
    <w:name w:val="WW8Num7z0"/>
    <w:next w:val="style21"/>
    <w:rPr>
      <w:rFonts w:ascii="Wingdings" w:cs="Wingdings" w:hAnsi="Wingdings"/>
    </w:rPr>
  </w:style>
  <w:style w:styleId="style22" w:type="character">
    <w:name w:val="WW8Num8z0"/>
    <w:next w:val="style22"/>
    <w:rPr>
      <w:rFonts w:ascii="Wingdings" w:cs="Wingdings" w:hAnsi="Wingdings"/>
    </w:rPr>
  </w:style>
  <w:style w:styleId="style23" w:type="character">
    <w:name w:val="Absatz-Standardschriftart"/>
    <w:next w:val="style23"/>
    <w:rPr/>
  </w:style>
  <w:style w:styleId="style24" w:type="character">
    <w:name w:val="WW8Num2z1"/>
    <w:next w:val="style24"/>
    <w:rPr>
      <w:rFonts w:ascii="Courier New" w:cs="Courier New" w:hAnsi="Courier New"/>
    </w:rPr>
  </w:style>
  <w:style w:styleId="style25" w:type="character">
    <w:name w:val="WW8Num2z2"/>
    <w:next w:val="style25"/>
    <w:rPr>
      <w:rFonts w:ascii="Wingdings" w:cs="Wingdings" w:hAnsi="Wingdings"/>
    </w:rPr>
  </w:style>
  <w:style w:styleId="style26" w:type="character">
    <w:name w:val="WW8Num3z1"/>
    <w:next w:val="style26"/>
    <w:rPr>
      <w:rFonts w:ascii="Courier New" w:cs="Courier New" w:hAnsi="Courier New"/>
    </w:rPr>
  </w:style>
  <w:style w:styleId="style27" w:type="character">
    <w:name w:val="WW8Num3z3"/>
    <w:next w:val="style27"/>
    <w:rPr>
      <w:rFonts w:ascii="Symbol" w:cs="Symbol" w:hAnsi="Symbol"/>
    </w:rPr>
  </w:style>
  <w:style w:styleId="style28" w:type="character">
    <w:name w:val="WW8Num4z1"/>
    <w:next w:val="style28"/>
    <w:rPr>
      <w:rFonts w:ascii="Courier New" w:cs="Courier New" w:hAnsi="Courier New"/>
    </w:rPr>
  </w:style>
  <w:style w:styleId="style29" w:type="character">
    <w:name w:val="WW8Num4z3"/>
    <w:next w:val="style29"/>
    <w:rPr>
      <w:rFonts w:ascii="Symbol" w:cs="Symbol" w:hAnsi="Symbol"/>
    </w:rPr>
  </w:style>
  <w:style w:styleId="style30" w:type="character">
    <w:name w:val="WW8Num5z1"/>
    <w:next w:val="style30"/>
    <w:rPr>
      <w:rFonts w:ascii="Courier New" w:cs="Courier New" w:hAnsi="Courier New"/>
    </w:rPr>
  </w:style>
  <w:style w:styleId="style31" w:type="character">
    <w:name w:val="WW8Num5z3"/>
    <w:next w:val="style31"/>
    <w:rPr>
      <w:rFonts w:ascii="Symbol" w:cs="Symbol" w:hAnsi="Symbol"/>
    </w:rPr>
  </w:style>
  <w:style w:styleId="style32" w:type="character">
    <w:name w:val="WW8Num6z1"/>
    <w:next w:val="style32"/>
    <w:rPr>
      <w:rFonts w:ascii="Courier New" w:cs="Courier New" w:hAnsi="Courier New"/>
    </w:rPr>
  </w:style>
  <w:style w:styleId="style33" w:type="character">
    <w:name w:val="WW8Num6z3"/>
    <w:next w:val="style33"/>
    <w:rPr>
      <w:rFonts w:ascii="Symbol" w:cs="Symbol" w:hAnsi="Symbol"/>
    </w:rPr>
  </w:style>
  <w:style w:styleId="style34" w:type="character">
    <w:name w:val="WW8Num7z1"/>
    <w:next w:val="style34"/>
    <w:rPr>
      <w:rFonts w:ascii="Courier New" w:cs="Courier New" w:hAnsi="Courier New"/>
    </w:rPr>
  </w:style>
  <w:style w:styleId="style35" w:type="character">
    <w:name w:val="WW8Num7z3"/>
    <w:next w:val="style35"/>
    <w:rPr>
      <w:rFonts w:ascii="Symbol" w:cs="Symbol" w:hAnsi="Symbol"/>
    </w:rPr>
  </w:style>
  <w:style w:styleId="style36" w:type="character">
    <w:name w:val="WW8Num8z1"/>
    <w:next w:val="style36"/>
    <w:rPr>
      <w:rFonts w:ascii="Courier New" w:cs="Courier New" w:hAnsi="Courier New"/>
    </w:rPr>
  </w:style>
  <w:style w:styleId="style37" w:type="character">
    <w:name w:val="WW8Num8z3"/>
    <w:next w:val="style37"/>
    <w:rPr>
      <w:rFonts w:ascii="Symbol" w:cs="Symbol" w:hAnsi="Symbol"/>
    </w:rPr>
  </w:style>
  <w:style w:styleId="style38" w:type="character">
    <w:name w:val="Основной шрифт абзаца2"/>
    <w:next w:val="style38"/>
    <w:rPr/>
  </w:style>
  <w:style w:styleId="style39" w:type="character">
    <w:name w:val="WW-Absatz-Standardschriftart"/>
    <w:next w:val="style39"/>
    <w:rPr/>
  </w:style>
  <w:style w:styleId="style40" w:type="character">
    <w:name w:val="WW-Absatz-Standardschriftart1"/>
    <w:next w:val="style40"/>
    <w:rPr/>
  </w:style>
  <w:style w:styleId="style41" w:type="character">
    <w:name w:val="WW-Absatz-Standardschriftart11"/>
    <w:next w:val="style41"/>
    <w:rPr/>
  </w:style>
  <w:style w:styleId="style42" w:type="character">
    <w:name w:val="Основной шрифт абзаца1"/>
    <w:next w:val="style42"/>
    <w:rPr/>
  </w:style>
  <w:style w:styleId="style43" w:type="character">
    <w:name w:val="Заголовок 1 Знак"/>
    <w:next w:val="style43"/>
    <w:rPr>
      <w:rFonts w:ascii="Times New Roman" w:cs="Times New Roman" w:eastAsia="Times New Roman" w:hAnsi="Times New Roman"/>
      <w:sz w:val="28"/>
      <w:szCs w:val="24"/>
      <w:lang w:eastAsia="zh-CN"/>
    </w:rPr>
  </w:style>
  <w:style w:styleId="style44" w:type="character">
    <w:name w:val="Заголовок 2 Знак"/>
    <w:next w:val="style44"/>
    <w:rPr>
      <w:rFonts w:ascii="Times New Roman" w:cs="Times New Roman" w:eastAsia="Times New Roman" w:hAnsi="Times New Roman"/>
      <w:sz w:val="28"/>
      <w:szCs w:val="24"/>
      <w:lang w:eastAsia="zh-CN"/>
    </w:rPr>
  </w:style>
  <w:style w:styleId="style45" w:type="character">
    <w:name w:val="Основной текст Знак"/>
    <w:next w:val="style45"/>
    <w:rPr>
      <w:rFonts w:ascii="Times New Roman" w:cs="Times New Roman" w:eastAsia="Times New Roman" w:hAnsi="Times New Roman"/>
      <w:sz w:val="24"/>
      <w:szCs w:val="24"/>
      <w:lang w:eastAsia="zh-CN"/>
    </w:rPr>
  </w:style>
  <w:style w:styleId="style46" w:type="character">
    <w:name w:val="Текст выноски Знак"/>
    <w:next w:val="style46"/>
    <w:rPr>
      <w:rFonts w:ascii="Tahoma" w:cs="Tahoma" w:hAnsi="Tahoma"/>
      <w:sz w:val="16"/>
      <w:szCs w:val="16"/>
      <w:lang w:eastAsia="zh-CN"/>
    </w:rPr>
  </w:style>
  <w:style w:styleId="style47" w:type="character">
    <w:name w:val="apple-converted-space"/>
    <w:basedOn w:val="style15"/>
    <w:next w:val="style47"/>
    <w:rPr/>
  </w:style>
  <w:style w:styleId="style48" w:type="character">
    <w:name w:val="ListLabel 1"/>
    <w:next w:val="style48"/>
    <w:rPr>
      <w:rFonts w:cs="Symbol"/>
    </w:rPr>
  </w:style>
  <w:style w:styleId="style49" w:type="character">
    <w:name w:val="ListLabel 2"/>
    <w:next w:val="style49"/>
    <w:rPr>
      <w:rFonts w:cs="Wingdings"/>
    </w:rPr>
  </w:style>
  <w:style w:styleId="style50" w:type="character">
    <w:name w:val="ListLabel 3"/>
    <w:next w:val="style50"/>
    <w:rPr>
      <w:rFonts w:cs="Wingdings"/>
    </w:rPr>
  </w:style>
  <w:style w:styleId="style51" w:type="character">
    <w:name w:val="ListLabel 4"/>
    <w:next w:val="style51"/>
    <w:rPr>
      <w:rFonts w:cs="Wingdings"/>
    </w:rPr>
  </w:style>
  <w:style w:styleId="style52" w:type="character">
    <w:name w:val="ListLabel 5"/>
    <w:next w:val="style52"/>
    <w:rPr>
      <w:rFonts w:cs="Wingdings"/>
    </w:rPr>
  </w:style>
  <w:style w:styleId="style53" w:type="character">
    <w:name w:val="ListLabel 6"/>
    <w:next w:val="style53"/>
    <w:rPr>
      <w:rFonts w:cs="Wingdings"/>
    </w:rPr>
  </w:style>
  <w:style w:styleId="style54" w:type="character">
    <w:name w:val="ListLabel 7"/>
    <w:next w:val="style54"/>
    <w:rPr>
      <w:rFonts w:cs="Wingdings"/>
    </w:rPr>
  </w:style>
  <w:style w:styleId="style55" w:type="character">
    <w:name w:val="Интернет-ссылка"/>
    <w:basedOn w:val="style15"/>
    <w:next w:val="style55"/>
    <w:rPr>
      <w:color w:val="0000FF"/>
      <w:u w:val="single"/>
      <w:lang w:bidi="zxx-" w:eastAsia="zxx-" w:val="zxx-"/>
    </w:rPr>
  </w:style>
  <w:style w:styleId="style56" w:type="character">
    <w:name w:val="Заголовок 1 Знак1"/>
    <w:basedOn w:val="style15"/>
    <w:next w:val="style56"/>
    <w:rPr>
      <w:rFonts w:ascii="Cambria" w:hAnsi="Cambria"/>
      <w:b/>
      <w:bCs/>
      <w:color w:val="365F91"/>
      <w:sz w:val="28"/>
      <w:szCs w:val="28"/>
      <w:lang w:eastAsia="zh-CN"/>
    </w:rPr>
  </w:style>
  <w:style w:styleId="style57" w:type="character">
    <w:name w:val="Выделение жирным"/>
    <w:basedOn w:val="style15"/>
    <w:next w:val="style57"/>
    <w:rPr>
      <w:b/>
      <w:bCs/>
    </w:rPr>
  </w:style>
  <w:style w:styleId="style58" w:type="character">
    <w:name w:val="Заголовок 2 Знак1"/>
    <w:basedOn w:val="style15"/>
    <w:next w:val="style58"/>
    <w:rPr>
      <w:rFonts w:ascii="Cambria" w:hAnsi="Cambria"/>
      <w:b/>
      <w:bCs/>
      <w:color w:val="4F81BD"/>
      <w:sz w:val="26"/>
      <w:szCs w:val="26"/>
    </w:rPr>
  </w:style>
  <w:style w:styleId="style59" w:type="character">
    <w:name w:val="Заголовок 1 Знак2"/>
    <w:basedOn w:val="style15"/>
    <w:next w:val="style59"/>
    <w:rPr>
      <w:rFonts w:ascii="Cambria" w:hAnsi="Cambria"/>
      <w:b/>
      <w:bCs/>
      <w:color w:val="365F91"/>
      <w:sz w:val="28"/>
      <w:szCs w:val="28"/>
    </w:rPr>
  </w:style>
  <w:style w:styleId="style60" w:type="character">
    <w:name w:val="Верхний колонтитул Знак"/>
    <w:basedOn w:val="style15"/>
    <w:next w:val="style60"/>
    <w:rPr>
      <w:rFonts w:ascii="Calibri" w:cs="Times New Roman" w:eastAsia="SimSun" w:hAnsi="Calibri"/>
      <w:color w:val="00000A"/>
    </w:rPr>
  </w:style>
  <w:style w:styleId="style61" w:type="character">
    <w:name w:val="Нижний колонтитул Знак"/>
    <w:basedOn w:val="style15"/>
    <w:next w:val="style61"/>
    <w:rPr>
      <w:rFonts w:ascii="Calibri" w:cs="Times New Roman" w:eastAsia="SimSun" w:hAnsi="Calibri"/>
      <w:color w:val="00000A"/>
    </w:rPr>
  </w:style>
  <w:style w:styleId="style62" w:type="paragraph">
    <w:name w:val="Заголовок"/>
    <w:basedOn w:val="style0"/>
    <w:next w:val="style63"/>
    <w:pPr>
      <w:keepNext/>
      <w:widowControl w:val="false"/>
      <w:suppressAutoHyphens w:val="true"/>
      <w:spacing w:after="120" w:before="240" w:line="276" w:lineRule="auto"/>
      <w:contextualSpacing w:val="false"/>
    </w:pPr>
    <w:rPr>
      <w:rFonts w:ascii="Arial" w:cs="Mangal" w:eastAsia="Microsoft YaHei" w:hAnsi="Arial"/>
      <w:color w:val="00000A"/>
      <w:sz w:val="28"/>
      <w:szCs w:val="28"/>
      <w:lang w:bidi="ar-SA" w:eastAsia="ru-RU" w:val="ru-RU"/>
    </w:rPr>
  </w:style>
  <w:style w:styleId="style63" w:type="paragraph">
    <w:name w:val="Основной текст"/>
    <w:basedOn w:val="style0"/>
    <w:next w:val="style63"/>
    <w:pPr>
      <w:widowControl w:val="false"/>
      <w:suppressAutoHyphens w:val="true"/>
      <w:spacing w:after="12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64" w:type="paragraph">
    <w:name w:val="Список"/>
    <w:basedOn w:val="style63"/>
    <w:next w:val="style64"/>
    <w:pPr/>
    <w:rPr>
      <w:rFonts w:cs="Mangal"/>
    </w:rPr>
  </w:style>
  <w:style w:styleId="style65" w:type="paragraph">
    <w:name w:val="Название"/>
    <w:basedOn w:val="style0"/>
    <w:next w:val="style6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66" w:type="paragraph">
    <w:name w:val="Указатель"/>
    <w:basedOn w:val="style0"/>
    <w:next w:val="style66"/>
    <w:pPr>
      <w:suppressLineNumbers/>
    </w:pPr>
    <w:rPr>
      <w:rFonts w:cs="Mangal"/>
    </w:rPr>
  </w:style>
  <w:style w:styleId="style67" w:type="paragraph">
    <w:name w:val="Заглавие"/>
    <w:basedOn w:val="style62"/>
    <w:next w:val="style67"/>
    <w:pPr>
      <w:widowControl w:val="false"/>
      <w:suppressLineNumbers/>
      <w:suppressAutoHyphens w:val="true"/>
      <w:spacing w:after="120" w:before="120" w:line="276" w:lineRule="auto"/>
      <w:contextualSpacing w:val="false"/>
      <w:jc w:val="left"/>
    </w:pPr>
    <w:rPr>
      <w:rFonts w:ascii="Calibri" w:cs="Mangal" w:eastAsia="SimSun" w:hAnsi="Calibri"/>
      <w:i/>
      <w:iCs/>
      <w:color w:val="00000A"/>
      <w:sz w:val="24"/>
      <w:szCs w:val="24"/>
      <w:lang w:bidi="ar-SA" w:eastAsia="ru-RU" w:val="ru-RU"/>
    </w:rPr>
  </w:style>
  <w:style w:styleId="style68" w:type="paragraph">
    <w:name w:val="index heading"/>
    <w:next w:val="style68"/>
    <w:pPr>
      <w:widowControl w:val="false"/>
      <w:suppressLineNumbers/>
      <w:suppressAutoHyphens w:val="true"/>
      <w:spacing w:after="200" w:before="0" w:line="276" w:lineRule="auto"/>
      <w:contextualSpacing w:val="false"/>
    </w:pPr>
    <w:rPr>
      <w:rFonts w:ascii="Calibri" w:cs="Mangal" w:eastAsia="SimSun" w:hAnsi="Calibri"/>
      <w:color w:val="00000A"/>
      <w:sz w:val="22"/>
      <w:szCs w:val="22"/>
      <w:lang w:bidi="ar-SA" w:eastAsia="ru-RU" w:val="ru-RU"/>
    </w:rPr>
  </w:style>
  <w:style w:styleId="style69" w:type="paragraph">
    <w:name w:val="Обычный1"/>
    <w:next w:val="style69"/>
    <w:pPr>
      <w:widowControl/>
      <w:tabs>
        <w:tab w:leader="none" w:pos="708" w:val="left"/>
      </w:tabs>
      <w:suppressAutoHyphens w:val="true"/>
      <w:spacing w:after="200" w:before="0" w:line="276" w:lineRule="auto"/>
      <w:contextualSpacing w:val="false"/>
    </w:pPr>
    <w:rPr>
      <w:rFonts w:ascii="Calibri" w:cs="Times New Roman" w:eastAsia="SimSun" w:hAnsi="Calibri"/>
      <w:color w:val="00000A"/>
      <w:sz w:val="22"/>
      <w:szCs w:val="22"/>
      <w:lang w:bidi="ar-SA" w:eastAsia="ru-RU" w:val="ru-RU"/>
    </w:rPr>
  </w:style>
  <w:style w:styleId="style70" w:type="paragraph">
    <w:name w:val="caption"/>
    <w:basedOn w:val="style69"/>
    <w:next w:val="style70"/>
    <w:pPr>
      <w:suppressLineNumbers/>
      <w:spacing w:after="120" w:before="120"/>
      <w:contextualSpacing w:val="false"/>
    </w:pPr>
    <w:rPr>
      <w:rFonts w:cs="Mangal"/>
      <w:i/>
      <w:iCs/>
    </w:rPr>
  </w:style>
  <w:style w:styleId="style71" w:type="paragraph">
    <w:name w:val="Указатель2"/>
    <w:basedOn w:val="style69"/>
    <w:next w:val="style71"/>
    <w:pPr>
      <w:suppressLineNumbers/>
    </w:pPr>
    <w:rPr>
      <w:rFonts w:cs="Mangal"/>
    </w:rPr>
  </w:style>
  <w:style w:styleId="style72" w:type="paragraph">
    <w:name w:val="Название объекта1"/>
    <w:basedOn w:val="style69"/>
    <w:next w:val="style72"/>
    <w:pPr>
      <w:suppressLineNumbers/>
      <w:spacing w:after="120" w:before="120"/>
      <w:contextualSpacing w:val="false"/>
    </w:pPr>
    <w:rPr>
      <w:rFonts w:cs="Mangal"/>
      <w:i/>
      <w:iCs/>
    </w:rPr>
  </w:style>
  <w:style w:styleId="style73" w:type="paragraph">
    <w:name w:val="Указатель1"/>
    <w:basedOn w:val="style69"/>
    <w:next w:val="style73"/>
    <w:pPr>
      <w:suppressLineNumbers/>
    </w:pPr>
    <w:rPr>
      <w:rFonts w:cs="Mangal"/>
    </w:rPr>
  </w:style>
  <w:style w:styleId="style74" w:type="paragraph">
    <w:name w:val="Содержимое таблицы"/>
    <w:basedOn w:val="style69"/>
    <w:next w:val="style74"/>
    <w:pPr>
      <w:suppressLineNumbers/>
    </w:pPr>
    <w:rPr/>
  </w:style>
  <w:style w:styleId="style75" w:type="paragraph">
    <w:name w:val="Заголовок таблицы"/>
    <w:basedOn w:val="style74"/>
    <w:next w:val="style75"/>
    <w:pPr>
      <w:jc w:val="center"/>
    </w:pPr>
    <w:rPr>
      <w:b/>
      <w:bCs/>
    </w:rPr>
  </w:style>
  <w:style w:styleId="style76" w:type="paragraph">
    <w:name w:val="Balloon Text"/>
    <w:basedOn w:val="style69"/>
    <w:next w:val="style76"/>
    <w:pPr/>
    <w:rPr>
      <w:rFonts w:ascii="Tahoma" w:cs="Tahoma" w:hAnsi="Tahoma"/>
      <w:sz w:val="16"/>
      <w:szCs w:val="16"/>
    </w:rPr>
  </w:style>
  <w:style w:styleId="style77" w:type="paragraph">
    <w:name w:val="List Paragraph"/>
    <w:basedOn w:val="style69"/>
    <w:next w:val="style77"/>
    <w:pPr>
      <w:suppressAutoHyphens w:val="false"/>
      <w:spacing w:after="0" w:before="0"/>
      <w:ind w:hanging="0" w:left="720" w:right="0"/>
      <w:contextualSpacing/>
    </w:pPr>
    <w:rPr>
      <w:sz w:val="20"/>
      <w:szCs w:val="20"/>
    </w:rPr>
  </w:style>
  <w:style w:styleId="style78" w:type="paragraph">
    <w:name w:val="Абзац списка1"/>
    <w:basedOn w:val="style69"/>
    <w:next w:val="style78"/>
    <w:pPr>
      <w:spacing w:line="100" w:lineRule="atLeast"/>
      <w:ind w:hanging="0" w:left="720" w:right="0"/>
    </w:pPr>
    <w:rPr>
      <w:sz w:val="20"/>
      <w:szCs w:val="20"/>
    </w:rPr>
  </w:style>
  <w:style w:styleId="style79" w:type="paragraph">
    <w:name w:val="Normal (Web)"/>
    <w:basedOn w:val="style69"/>
    <w:next w:val="style79"/>
    <w:pPr>
      <w:suppressAutoHyphens w:val="false"/>
      <w:spacing w:after="119" w:before="28"/>
      <w:contextualSpacing w:val="false"/>
    </w:pPr>
    <w:rPr/>
  </w:style>
  <w:style w:styleId="style80" w:type="paragraph">
    <w:name w:val="Default"/>
    <w:next w:val="style80"/>
    <w:pPr>
      <w:widowControl/>
      <w:suppressAutoHyphens w:val="true"/>
      <w:spacing w:after="200" w:before="0" w:line="276" w:lineRule="auto"/>
      <w:contextualSpacing w:val="false"/>
    </w:pPr>
    <w:rPr>
      <w:rFonts w:ascii="Times New Roman" w:cs="Times New Roman" w:eastAsia="Times New Roman" w:hAnsi="Times New Roman"/>
      <w:color w:val="000000"/>
      <w:sz w:val="24"/>
      <w:szCs w:val="24"/>
      <w:lang w:bidi="ar-SA" w:eastAsia="ru-RU" w:val="ru-RU"/>
    </w:rPr>
  </w:style>
  <w:style w:styleId="style81" w:type="paragraph">
    <w:name w:val="ConsPlusTitle"/>
    <w:next w:val="style81"/>
    <w:pPr>
      <w:widowControl w:val="false"/>
      <w:suppressAutoHyphens w:val="true"/>
      <w:spacing w:after="200" w:before="0" w:line="276" w:lineRule="auto"/>
      <w:contextualSpacing w:val="false"/>
    </w:pPr>
    <w:rPr>
      <w:rFonts w:ascii="Arial" w:cs="" w:eastAsia="Times New Roman" w:hAnsi="Arial"/>
      <w:b/>
      <w:bCs/>
      <w:color w:val="00000A"/>
      <w:sz w:val="24"/>
      <w:szCs w:val="24"/>
      <w:lang w:bidi="ar-SA" w:eastAsia="ru-RU" w:val="ru-RU"/>
    </w:rPr>
  </w:style>
  <w:style w:styleId="style82" w:type="paragraph">
    <w:name w:val="ConsPlusNormal"/>
    <w:next w:val="style82"/>
    <w:pPr>
      <w:widowControl w:val="false"/>
      <w:suppressAutoHyphens w:val="true"/>
      <w:spacing w:after="200" w:before="0" w:line="276" w:lineRule="auto"/>
      <w:contextualSpacing w:val="false"/>
    </w:pPr>
    <w:rPr>
      <w:rFonts w:ascii="Times New Roman" w:cs="" w:eastAsia="Times New Roman" w:hAnsi="Times New Roman"/>
      <w:color w:val="00000A"/>
      <w:sz w:val="24"/>
      <w:szCs w:val="24"/>
      <w:lang w:bidi="ar-SA" w:eastAsia="ru-RU" w:val="ru-RU"/>
    </w:rPr>
  </w:style>
  <w:style w:styleId="style83" w:type="paragraph">
    <w:name w:val="Верхний колонтитул"/>
    <w:basedOn w:val="style0"/>
    <w:next w:val="style83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84" w:type="paragraph">
    <w:name w:val="Нижний колонтитул"/>
    <w:basedOn w:val="style0"/>
    <w:next w:val="style84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2023-11-29T20:46:00Z</dcterms:created>
  <dc:creator>admin</dc:creator>
  <dc:language>ru</dc:language>
  <cp:lastModifiedBy>Наталия</cp:lastModifiedBy>
  <cp:lastPrinted>2024-03-28T16:57:33Z</cp:lastPrinted>
  <dcterms:modified xsi:type="dcterms:W3CDTF">2023-11-30T00:25:00Z</dcterms:modified>
  <cp:revision>7</cp:revision>
</cp:coreProperties>
</file>